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1" w:rsidRDefault="00D80F04">
      <w:pPr>
        <w:pStyle w:val="berschrift2"/>
      </w:pPr>
      <w:r>
        <w:t>INSTITUT FÜR WÄRME UND OELTECHNIK (IWO) | HAMBURG</w:t>
      </w:r>
    </w:p>
    <w:p w:rsidR="00186A41" w:rsidRDefault="00186A41">
      <w:pPr>
        <w:spacing w:line="360" w:lineRule="auto"/>
        <w:ind w:right="3402"/>
        <w:rPr>
          <w:rFonts w:ascii="Arial" w:eastAsia="Arial" w:hAnsi="Arial" w:cs="Arial"/>
          <w:sz w:val="10"/>
          <w:szCs w:val="10"/>
        </w:rPr>
      </w:pPr>
    </w:p>
    <w:p w:rsidR="006B1646" w:rsidRDefault="006B1646" w:rsidP="006B1646">
      <w:pPr>
        <w:rPr>
          <w:rFonts w:ascii="Arial" w:hAnsi="Arial"/>
          <w:b/>
          <w:bCs/>
          <w:sz w:val="36"/>
          <w:szCs w:val="36"/>
        </w:rPr>
      </w:pPr>
      <w:r w:rsidRPr="006B1646">
        <w:rPr>
          <w:rFonts w:ascii="Arial" w:hAnsi="Arial"/>
          <w:b/>
          <w:bCs/>
          <w:sz w:val="36"/>
          <w:szCs w:val="36"/>
        </w:rPr>
        <w:t>Brennwerttechnik:</w:t>
      </w:r>
      <w:r>
        <w:rPr>
          <w:rFonts w:ascii="Arial" w:hAnsi="Arial"/>
          <w:b/>
          <w:bCs/>
          <w:sz w:val="36"/>
          <w:szCs w:val="36"/>
        </w:rPr>
        <w:t xml:space="preserve"> modern und effi</w:t>
      </w:r>
      <w:r w:rsidRPr="006B1646">
        <w:rPr>
          <w:rFonts w:ascii="Arial" w:hAnsi="Arial"/>
          <w:b/>
          <w:bCs/>
          <w:sz w:val="36"/>
          <w:szCs w:val="36"/>
        </w:rPr>
        <w:t>zient</w:t>
      </w:r>
    </w:p>
    <w:p w:rsidR="00186A41" w:rsidRDefault="007B01C7" w:rsidP="006B1646">
      <w:pPr>
        <w:rPr>
          <w:rFonts w:ascii="Arial" w:eastAsia="Arial" w:hAnsi="Arial" w:cs="Arial"/>
          <w:sz w:val="10"/>
          <w:szCs w:val="10"/>
        </w:rPr>
      </w:pPr>
      <w:r w:rsidRPr="007B01C7">
        <w:rPr>
          <w:rFonts w:ascii="Arial" w:hAnsi="Arial"/>
          <w:i/>
          <w:iCs/>
          <w:sz w:val="36"/>
          <w:szCs w:val="36"/>
        </w:rPr>
        <w:t>Heizkosten sparen mit hoher finanzieller Förderung</w:t>
      </w:r>
      <w:r w:rsidR="00324AEB">
        <w:rPr>
          <w:rFonts w:ascii="Arial" w:hAnsi="Arial"/>
          <w:i/>
          <w:iCs/>
          <w:sz w:val="36"/>
          <w:szCs w:val="36"/>
        </w:rPr>
        <w:t>.</w:t>
      </w:r>
    </w:p>
    <w:p w:rsidR="00186A41" w:rsidRDefault="00B812F7" w:rsidP="00B812F7">
      <w:pPr>
        <w:spacing w:line="360" w:lineRule="atLeast"/>
        <w:ind w:right="3402"/>
        <w:rPr>
          <w:rFonts w:ascii="Arial" w:eastAsia="Arial" w:hAnsi="Arial" w:cs="Arial"/>
          <w:b/>
          <w:bCs/>
          <w:sz w:val="22"/>
          <w:szCs w:val="22"/>
        </w:rPr>
      </w:pPr>
      <w:r w:rsidRPr="00B812F7">
        <w:rPr>
          <w:rFonts w:ascii="Arial" w:hAnsi="Arial"/>
          <w:b/>
          <w:bCs/>
          <w:sz w:val="22"/>
          <w:szCs w:val="22"/>
        </w:rPr>
        <w:t>Öl-Brennwertheizungen bieten nicht nur ein enormes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Einsparpotenzial bei den Heizkosten, sondern lassen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sich auch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hervorragend mit erneuerbaren Energien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kombinieren. Mit der Aktion „Besser flüssig bleiben“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können sich Modernisierer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B812F7">
        <w:rPr>
          <w:rFonts w:ascii="Arial" w:hAnsi="Arial"/>
          <w:b/>
          <w:bCs/>
          <w:sz w:val="22"/>
          <w:szCs w:val="22"/>
        </w:rPr>
        <w:t>jetzt bei minimalem Aufwand höchstmögliche staatliche Zuschüsse sichern.</w:t>
      </w:r>
    </w:p>
    <w:p w:rsidR="00186A41" w:rsidRDefault="00186A41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</w:pPr>
    </w:p>
    <w:p w:rsidR="00B812F7" w:rsidRPr="00B812F7" w:rsidRDefault="00D80F04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 xml:space="preserve">Hamburg, </w:t>
      </w:r>
      <w:r w:rsidR="00B812F7"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>8</w:t>
      </w:r>
      <w:r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 xml:space="preserve">. </w:t>
      </w:r>
      <w:r w:rsidR="00B812F7"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>Mai</w:t>
      </w:r>
      <w:r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 xml:space="preserve"> 201</w:t>
      </w:r>
      <w:r w:rsidR="00484C01"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>8</w:t>
      </w:r>
      <w:r>
        <w:rPr>
          <w:rFonts w:ascii="HelveticaNeueLTPro-Lt" w:eastAsia="HelveticaNeueLTPro-Lt" w:hAnsi="HelveticaNeueLTPro-Lt" w:cs="HelveticaNeueLTPro-Lt"/>
          <w:i/>
          <w:iCs/>
          <w:sz w:val="20"/>
          <w:szCs w:val="20"/>
        </w:rPr>
        <w:t xml:space="preserve"> (tdx) 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–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Eine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Heizung sollte zuverlässig, 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>l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anglebig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und obendrein kostengünstig sein. Öl-Brennwerttechnik zählt zu den effizientesten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Heiztechniken. Denn während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konventionelle Heizungen heißes Abgas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einfach zum Schornstein hinaus pusten,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wird es in einem modernen Brennwertgerät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abgekühlt und die dabei frei werdende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Wärme zusätzlich zum Heizen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verwendet. Im Modernisierungsfall kann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dank dieser Technik der Brennstoffbedarf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insgesamt um bis zu 30 Prozent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gesenkt werden. Für Eigentümer ölbeheizter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Ein- und Zweifamilienhäuser ist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eine solche Modernisierungsmaßnahme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nach Angaben des Instituts für Wärme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und </w:t>
      </w:r>
      <w:proofErr w:type="spellStart"/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Oeltechnik</w:t>
      </w:r>
      <w:proofErr w:type="spellEnd"/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(IWO) zumeist der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günstigste Einstieg in die private Energiewende.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Die Vorzüge des bewährten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Systems bleiben dabei erhalten: Weil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sich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der Öltank direkt im Haus befi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ndet,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können Eigenheimbesitzer selbst entscheiden,</w:t>
      </w:r>
      <w:r w:rsid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B812F7"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wann sie ihren Energievorrat</w:t>
      </w: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aufstocken und können dann einkaufen,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wenn die Preise gerade günstig sind.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b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b/>
          <w:sz w:val="20"/>
          <w:szCs w:val="20"/>
        </w:rPr>
        <w:t>Sparsam und klimaschonend</w:t>
      </w: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lastRenderedPageBreak/>
        <w:t>Öl-Brennwertgeräte verfügen nicht nur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über 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>ine besonders hohe Energieeffi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zienz, sie sind auch ideal für die Kombination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mit erneuerbaren Energien wie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zum Beispiel Solarthermie geeignet. Für</w:t>
      </w: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die verschiedenen Modernisierungsvarianten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stehen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Hauseigentümern Förderprämien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zur Verfügung, mittels derer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sie sich einen Teil der Investitionskosten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zurückholen können. Dafür bietet die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aktuelle Aktion „Besser flüssig bleiben“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jetzt eine besondere Unterstützung an.</w:t>
      </w: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b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b/>
          <w:sz w:val="20"/>
          <w:szCs w:val="20"/>
        </w:rPr>
        <w:t>Fördermittel-Experten helfen kostenlos</w:t>
      </w: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Dabei übernehmen unabhängige Fördermittel-Experten kostenlos die Suche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nach Geldern in den Fördertöpfen von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Bund, Ländern und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Kommunen sowie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auch die komplette Antragstellung.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Um die staatlichen Fördermittel zu bekommen,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müssen die Gelder beantragt</w:t>
      </w: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werden, bevor die Modernisierungsmaßnahme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startet. Hausbesitzer wenden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sich dazu vor Beginn der Arbeiten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mit dem Angebot ihres Heizungsbauers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für eine Öl-Brennwertheizung eines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teilnehmenden Herstellers telefonisch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unter der Rufnummer 06190-9263435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an den Fördermittel-Service. Aus rund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2.000 Förderprogrammen suchen die</w:t>
      </w: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Experten dann die passenden Zuschussprogramme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aus und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erbringen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als KfW-Sachverständige auch gleich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die nötigen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Nachweise. Nach Abschluss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der Modernisierung veranlassen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die Berater auch die Abrechnung.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Dazu müssen nur alle 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>R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echnungsbelege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vorgelegt werden. Die Auszahlung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der Zuschüsse erfolgt dann schnell und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einfach auf das angegebene Bankkonto.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Renovierer profi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tieren so in vielerlei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Hinsicht von der modernen Brennwerttechnologie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und können dem nächsten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Winter ganz entspannt entgegensehen.</w:t>
      </w:r>
    </w:p>
    <w:p w:rsidR="00B812F7" w:rsidRP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Default="00B812F7" w:rsidP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Weitere Informationen unter www.besser-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>fl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uessig-bleiben.de.</w:t>
      </w:r>
    </w:p>
    <w:p w:rsidR="00B812F7" w:rsidRDefault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lastRenderedPageBreak/>
        <w:t xml:space="preserve">Pressekontakt: 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Institut für Wärme und </w:t>
      </w:r>
      <w:proofErr w:type="spellStart"/>
      <w:r>
        <w:rPr>
          <w:rFonts w:ascii="HelveticaNeueLTPro-Lt" w:eastAsia="HelveticaNeueLTPro-Lt" w:hAnsi="HelveticaNeueLTPro-Lt" w:cs="HelveticaNeueLTPro-Lt"/>
          <w:sz w:val="20"/>
          <w:szCs w:val="20"/>
        </w:rPr>
        <w:t>Oeltechnik</w:t>
      </w:r>
      <w:proofErr w:type="spellEnd"/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e. V. (IWO)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proofErr w:type="spellStart"/>
      <w:r>
        <w:rPr>
          <w:rFonts w:ascii="HelveticaNeueLTPro-Lt" w:eastAsia="HelveticaNeueLTPro-Lt" w:hAnsi="HelveticaNeueLTPro-Lt" w:cs="HelveticaNeueLTPro-Lt"/>
          <w:sz w:val="20"/>
          <w:szCs w:val="20"/>
        </w:rPr>
        <w:t>Süderstraße</w:t>
      </w:r>
      <w:proofErr w:type="spellEnd"/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73 a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  <w:lang w:val="en-US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  <w:lang w:val="en-US"/>
        </w:rPr>
        <w:t>20097 Hamburg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www.zukunftsheizen.de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</w:p>
    <w:p w:rsidR="00186A41" w:rsidRDefault="00186A41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  <w:lang w:val="en-US"/>
        </w:rPr>
      </w:pP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Ansprechpartner: 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>Rainer Diederichs (Presse- und Öffentlichkeitsarbeit)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>Telefon: +49 (0) 40 / 235 113-884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>Telefax: +49 (0) 40 / 235 113-29</w:t>
      </w:r>
    </w:p>
    <w:p w:rsidR="00186A41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E-Mail: </w:t>
      </w:r>
      <w:r w:rsidRPr="00B812F7">
        <w:rPr>
          <w:rFonts w:ascii="HelveticaNeueLTPro-Lt" w:eastAsia="HelveticaNeueLTPro-Lt" w:hAnsi="HelveticaNeueLTPro-Lt" w:cs="HelveticaNeueLTPro-Lt"/>
          <w:sz w:val="20"/>
          <w:szCs w:val="20"/>
        </w:rPr>
        <w:t>presse@iwo.de</w:t>
      </w:r>
      <w:r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</w:p>
    <w:p w:rsidR="00186A41" w:rsidRDefault="00186A41">
      <w:pPr>
        <w:spacing w:line="360" w:lineRule="atLeast"/>
        <w:ind w:right="3402"/>
      </w:pPr>
    </w:p>
    <w:p w:rsidR="00E24FD3" w:rsidRPr="00E24FD3" w:rsidRDefault="00E24FD3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D80F04" w:rsidRDefault="00D80F04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FB3239" w:rsidRDefault="00FB3239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0A7D7E" w:rsidRDefault="00B812F7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83.7pt;height:189.15pt">
            <v:imagedata r:id="rId7" o:title="IWO-Pressefoto_Besser_fluessig_bleiben_Tank"/>
          </v:shape>
        </w:pict>
      </w:r>
    </w:p>
    <w:p w:rsidR="000A7D7E" w:rsidRDefault="000A7D7E" w:rsidP="006B1646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BU</w:t>
      </w:r>
      <w:r w:rsidR="005F7897">
        <w:rPr>
          <w:rFonts w:ascii="HelveticaNeueLTPro-Lt" w:eastAsia="HelveticaNeueLTPro-Lt" w:hAnsi="HelveticaNeueLTPro-Lt" w:cs="HelveticaNeueLTPro-Lt"/>
          <w:sz w:val="20"/>
          <w:szCs w:val="20"/>
        </w:rPr>
        <w:t>:</w:t>
      </w:r>
      <w:r w:rsidR="00FB3239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Hausbesitzer wenden sich mit dem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Angebot ihres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Heizungsbauers für eine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Öl-Brennwertheizung eines teilnehmenden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Herstellers telefonisch an den Fördermittel-Service unter (06190) 9263435. Die Experten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beraten die Modernisierer individuell,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um ihnen die maximale Fördersumme zu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sichern.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Bild: tdx/IWO</w:t>
      </w:r>
    </w:p>
    <w:p w:rsidR="00FB3239" w:rsidRDefault="00FB3239" w:rsidP="000A7D7E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FB3239" w:rsidRDefault="00FB3239" w:rsidP="00FB3239">
      <w:pP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Default="00B812F7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lastRenderedPageBreak/>
        <w:pict>
          <v:shape id="_x0000_i1031" type="#_x0000_t75" style="width:283.7pt;height:189.15pt">
            <v:imagedata r:id="rId8" o:title="IWO-Pressebild_Neue_Heizung"/>
          </v:shape>
        </w:pict>
      </w:r>
    </w:p>
    <w:p w:rsidR="00FB3239" w:rsidRDefault="00FB3239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BU: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Der Einbau einer neuen Ölheizung erfolgt schnell und mit wenig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Aufwand. Die bewährte Technik lässt sich einfach mit erneuerbaren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Energien wie Solar oder Kaminholz zu Hybridheizungen 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k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ombinieren.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Bild: tdx/IWO</w:t>
      </w:r>
    </w:p>
    <w:p w:rsidR="00FB3239" w:rsidRDefault="00FB3239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B812F7" w:rsidRDefault="00B812F7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FB3239" w:rsidRDefault="00B812F7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>
        <w:rPr>
          <w:rFonts w:ascii="HelveticaNeueLTPro-Lt" w:eastAsia="HelveticaNeueLTPro-Lt" w:hAnsi="HelveticaNeueLTPro-Lt" w:cs="HelveticaNeueLTPro-Lt"/>
          <w:sz w:val="20"/>
          <w:szCs w:val="20"/>
        </w:rPr>
        <w:pict>
          <v:shape id="_x0000_i1034" type="#_x0000_t75" style="width:283.7pt;height:189.15pt">
            <v:imagedata r:id="rId9" o:title="IWO-Pressefoto_Besser_fluessig_bleiben_Heizung"/>
          </v:shape>
        </w:pict>
      </w:r>
    </w:p>
    <w:p w:rsidR="00FB3239" w:rsidRDefault="00FB3239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BU: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Setzen Hausbesitzer bei ihrer Heizungsmodernisierung auf Öl-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>B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rennwerttechnik, hält die Tankfüllung gleich viel länger. Die hocheffiziente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Heizung sorgt für ein warmes Zuhause bei deutlich geringeren Kosten.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Bild: tdx/IWO</w:t>
      </w:r>
    </w:p>
    <w:p w:rsidR="000A7D7E" w:rsidRDefault="000A7D7E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FB3239" w:rsidRDefault="00B812F7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bookmarkStart w:id="0" w:name="_GoBack"/>
      <w:bookmarkEnd w:id="0"/>
      <w:r>
        <w:rPr>
          <w:rFonts w:ascii="HelveticaNeueLTPro-Lt" w:eastAsia="HelveticaNeueLTPro-Lt" w:hAnsi="HelveticaNeueLTPro-Lt" w:cs="HelveticaNeueLTPro-Lt"/>
          <w:sz w:val="20"/>
          <w:szCs w:val="20"/>
        </w:rPr>
        <w:lastRenderedPageBreak/>
        <w:pict>
          <v:shape id="_x0000_i1037" type="#_x0000_t75" style="width:151pt;height:226.75pt">
            <v:imagedata r:id="rId10" o:title="DSC_0331"/>
          </v:shape>
        </w:pict>
      </w:r>
    </w:p>
    <w:p w:rsidR="00E24FD3" w:rsidRDefault="00E24FD3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BU:</w:t>
      </w:r>
      <w:r w:rsidR="000A7D7E" w:rsidRPr="005F7897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Öl-Brennwertgeräte verfügen nicht nur über höchste Energieeffizienz, sie sind auch ideal für die Kombination mit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erneuerbaren Energien geeignet.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Sowohl eine Solaranlage, als auch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ein Kaminofen lassen sich mit dem Brennwertgerät problemlos zu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="006B1646" w:rsidRPr="006B1646">
        <w:rPr>
          <w:rFonts w:ascii="HelveticaNeueLTPro-Lt" w:eastAsia="HelveticaNeueLTPro-Lt" w:hAnsi="HelveticaNeueLTPro-Lt" w:cs="HelveticaNeueLTPro-Lt"/>
          <w:sz w:val="20"/>
          <w:szCs w:val="20"/>
        </w:rPr>
        <w:t>einer Hybridheizung verbinden.</w:t>
      </w:r>
      <w:r w:rsidR="006B1646">
        <w:rPr>
          <w:rFonts w:ascii="HelveticaNeueLTPro-Lt" w:eastAsia="HelveticaNeueLTPro-Lt" w:hAnsi="HelveticaNeueLTPro-Lt" w:cs="HelveticaNeueLTPro-Lt"/>
          <w:sz w:val="20"/>
          <w:szCs w:val="20"/>
        </w:rPr>
        <w:t xml:space="preserve"> </w:t>
      </w:r>
      <w:r w:rsidRPr="00E24FD3">
        <w:rPr>
          <w:rFonts w:ascii="HelveticaNeueLTPro-Lt" w:eastAsia="HelveticaNeueLTPro-Lt" w:hAnsi="HelveticaNeueLTPro-Lt" w:cs="HelveticaNeueLTPro-Lt"/>
          <w:sz w:val="20"/>
          <w:szCs w:val="20"/>
        </w:rPr>
        <w:t>Bild: tdx/IWO</w:t>
      </w:r>
    </w:p>
    <w:p w:rsidR="000A7D7E" w:rsidRDefault="000A7D7E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E24FD3" w:rsidRPr="00E24FD3" w:rsidRDefault="00E24FD3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p w:rsidR="00E24FD3" w:rsidRPr="00E24FD3" w:rsidRDefault="00E24FD3" w:rsidP="00B812F7">
      <w:pPr>
        <w:pBdr>
          <w:top w:val="nil"/>
        </w:pBdr>
        <w:spacing w:line="360" w:lineRule="atLeast"/>
        <w:ind w:right="3402"/>
        <w:rPr>
          <w:rFonts w:ascii="HelveticaNeueLTPro-Lt" w:eastAsia="HelveticaNeueLTPro-Lt" w:hAnsi="HelveticaNeueLTPro-Lt" w:cs="HelveticaNeueLTPro-Lt"/>
          <w:sz w:val="20"/>
          <w:szCs w:val="20"/>
        </w:rPr>
      </w:pPr>
    </w:p>
    <w:sectPr w:rsidR="00E24FD3" w:rsidRPr="00E24FD3">
      <w:headerReference w:type="default" r:id="rId11"/>
      <w:footerReference w:type="default" r:id="rId12"/>
      <w:pgSz w:w="11900" w:h="16840"/>
      <w:pgMar w:top="2835" w:right="1134" w:bottom="2268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EA" w:rsidRDefault="00D80F04">
      <w:r>
        <w:separator/>
      </w:r>
    </w:p>
  </w:endnote>
  <w:endnote w:type="continuationSeparator" w:id="0">
    <w:p w:rsidR="00D250EA" w:rsidRDefault="00D8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Pro-Lt">
    <w:panose1 w:val="020B0403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41" w:rsidRDefault="00D80F04">
    <w:pPr>
      <w:pStyle w:val="Fuzeile"/>
      <w:pBdr>
        <w:bottom w:val="single" w:sz="6" w:space="0" w:color="000000"/>
      </w:pBdr>
      <w:tabs>
        <w:tab w:val="clear" w:pos="9071"/>
        <w:tab w:val="center" w:pos="7797"/>
        <w:tab w:val="right" w:pos="10065"/>
      </w:tabs>
      <w:rPr>
        <w:sz w:val="18"/>
        <w:szCs w:val="18"/>
      </w:rPr>
    </w:pPr>
    <w:r>
      <w:rPr>
        <w:sz w:val="18"/>
        <w:szCs w:val="18"/>
      </w:rPr>
      <w:t>HEADLINE-themendienst.de</w:t>
    </w:r>
    <w:r>
      <w:rPr>
        <w:sz w:val="18"/>
        <w:szCs w:val="18"/>
      </w:rPr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812F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ab/>
      <w:t>Abdruck honorarfrei – Beleg erbeten</w:t>
    </w:r>
  </w:p>
  <w:p w:rsidR="00186A41" w:rsidRDefault="00D80F04">
    <w:pPr>
      <w:pStyle w:val="Fuzeile"/>
      <w:tabs>
        <w:tab w:val="center" w:pos="7797"/>
        <w:tab w:val="right" w:pos="10065"/>
      </w:tabs>
      <w:rPr>
        <w:sz w:val="18"/>
        <w:szCs w:val="18"/>
      </w:rPr>
    </w:pPr>
    <w:r>
      <w:rPr>
        <w:sz w:val="18"/>
        <w:szCs w:val="18"/>
      </w:rPr>
      <w:t>Der Abdruck aller Texte und Bilder zu redaktionellen Zwecken ist unter Angabe der jeweils benannten Quellen sowie</w:t>
    </w:r>
  </w:p>
  <w:p w:rsidR="00186A41" w:rsidRDefault="00D80F04">
    <w:pPr>
      <w:pStyle w:val="Fuzeile"/>
      <w:tabs>
        <w:tab w:val="center" w:pos="7797"/>
        <w:tab w:val="right" w:pos="10065"/>
      </w:tabs>
      <w:rPr>
        <w:sz w:val="18"/>
        <w:szCs w:val="18"/>
      </w:rPr>
    </w:pPr>
    <w:r>
      <w:rPr>
        <w:sz w:val="18"/>
        <w:szCs w:val="18"/>
      </w:rPr>
      <w:t xml:space="preserve">des </w:t>
    </w:r>
    <w:r>
      <w:rPr>
        <w:b/>
        <w:bCs/>
        <w:sz w:val="18"/>
        <w:szCs w:val="18"/>
      </w:rPr>
      <w:t>Agenturkürzels (tdx)</w:t>
    </w:r>
    <w:r>
      <w:rPr>
        <w:sz w:val="18"/>
        <w:szCs w:val="18"/>
      </w:rPr>
      <w:t xml:space="preserve"> ausdrücklich erlaubt und honorarfrei. Weitere Informationen zu themendienst.de:</w:t>
    </w:r>
  </w:p>
  <w:p w:rsidR="00186A41" w:rsidRDefault="00D80F04">
    <w:pPr>
      <w:pStyle w:val="Fuzeile"/>
      <w:tabs>
        <w:tab w:val="center" w:pos="7797"/>
        <w:tab w:val="right" w:pos="10065"/>
      </w:tabs>
      <w:rPr>
        <w:sz w:val="18"/>
        <w:szCs w:val="18"/>
      </w:rPr>
    </w:pPr>
    <w:r>
      <w:rPr>
        <w:sz w:val="18"/>
        <w:szCs w:val="18"/>
      </w:rPr>
      <w:t>PR-Company GmbH, Werner-von-Siemens-Str. 6, D-86159 Augsburg, Tel (08 21) 258 93 00, Fax (08 21) 258 93 01,</w:t>
    </w:r>
  </w:p>
  <w:p w:rsidR="00186A41" w:rsidRDefault="00D80F04">
    <w:pPr>
      <w:pStyle w:val="Fuzeile"/>
      <w:tabs>
        <w:tab w:val="clear" w:pos="9071"/>
        <w:tab w:val="center" w:pos="7797"/>
        <w:tab w:val="right" w:pos="10065"/>
      </w:tabs>
    </w:pPr>
    <w:r>
      <w:rPr>
        <w:sz w:val="18"/>
        <w:szCs w:val="18"/>
      </w:rPr>
      <w:t xml:space="preserve">e-mail: redaktion@themendienst.de, </w:t>
    </w:r>
    <w:r>
      <w:rPr>
        <w:b/>
        <w:bCs/>
        <w:sz w:val="18"/>
        <w:szCs w:val="18"/>
      </w:rPr>
      <w:t>Download: www.themendienst.de</w:t>
    </w:r>
    <w:r>
      <w:rPr>
        <w:sz w:val="18"/>
        <w:szCs w:val="18"/>
      </w:rPr>
      <w:t xml:space="preserve">     </w:t>
    </w:r>
    <w:r w:rsidR="00B812F7" w:rsidRPr="00B812F7">
      <w:rPr>
        <w:b/>
        <w:bCs/>
        <w:sz w:val="18"/>
        <w:szCs w:val="18"/>
      </w:rPr>
      <w:t>U</w:t>
    </w:r>
    <w:r>
      <w:rPr>
        <w:b/>
        <w:bCs/>
        <w:sz w:val="18"/>
        <w:szCs w:val="18"/>
      </w:rPr>
      <w:t>m ein Belegexemplar wird gebeten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EA" w:rsidRDefault="00D80F04">
      <w:r>
        <w:separator/>
      </w:r>
    </w:p>
  </w:footnote>
  <w:footnote w:type="continuationSeparator" w:id="0">
    <w:p w:rsidR="00D250EA" w:rsidRDefault="00D80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A41" w:rsidRDefault="00D80F04">
    <w:pPr>
      <w:pStyle w:val="Kopfzeile"/>
      <w:jc w:val="right"/>
      <w:rPr>
        <w:sz w:val="40"/>
        <w:szCs w:val="40"/>
      </w:rPr>
    </w:pPr>
    <w:r>
      <w:rPr>
        <w:noProof/>
      </w:rPr>
      <w:drawing>
        <wp:inline distT="0" distB="0" distL="0" distR="0" wp14:anchorId="6F461C7B" wp14:editId="6FBF9B8F">
          <wp:extent cx="1801496" cy="6432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line-thd_logo-pm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96" cy="643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186A41" w:rsidRDefault="00D80F04">
    <w:pPr>
      <w:pStyle w:val="Kopfzeile"/>
      <w:rPr>
        <w:sz w:val="36"/>
        <w:szCs w:val="36"/>
      </w:rPr>
    </w:pPr>
    <w:r>
      <w:rPr>
        <w:sz w:val="36"/>
        <w:szCs w:val="36"/>
      </w:rPr>
      <w:t>Presseinformation</w:t>
    </w:r>
  </w:p>
  <w:p w:rsidR="00186A41" w:rsidRDefault="00D80F04">
    <w:pPr>
      <w:pStyle w:val="Kopfzeile"/>
    </w:pPr>
    <w:r>
      <w:rPr>
        <w:sz w:val="20"/>
        <w:szCs w:val="20"/>
      </w:rPr>
      <w:t>H</w:t>
    </w:r>
    <w:r w:rsidR="00881896">
      <w:rPr>
        <w:sz w:val="20"/>
        <w:szCs w:val="20"/>
      </w:rPr>
      <w:t>EADLINE themendienst exklusiv 10</w:t>
    </w:r>
    <w:r>
      <w:rPr>
        <w:sz w:val="20"/>
        <w:szCs w:val="20"/>
      </w:rPr>
      <w:t>-201</w:t>
    </w:r>
    <w:r w:rsidR="00E24FD3">
      <w:rPr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6A41"/>
    <w:rsid w:val="000A7D7E"/>
    <w:rsid w:val="00186A41"/>
    <w:rsid w:val="002842E6"/>
    <w:rsid w:val="00324AEB"/>
    <w:rsid w:val="003D5A52"/>
    <w:rsid w:val="00484C01"/>
    <w:rsid w:val="005D6D1E"/>
    <w:rsid w:val="005F7897"/>
    <w:rsid w:val="006B1646"/>
    <w:rsid w:val="007B01C7"/>
    <w:rsid w:val="00881896"/>
    <w:rsid w:val="00885011"/>
    <w:rsid w:val="008879CE"/>
    <w:rsid w:val="00A45E8C"/>
    <w:rsid w:val="00AB3F54"/>
    <w:rsid w:val="00B3456D"/>
    <w:rsid w:val="00B812F7"/>
    <w:rsid w:val="00BC1A57"/>
    <w:rsid w:val="00C5186C"/>
    <w:rsid w:val="00D250EA"/>
    <w:rsid w:val="00D754D6"/>
    <w:rsid w:val="00D80F04"/>
    <w:rsid w:val="00E2245C"/>
    <w:rsid w:val="00E24FD3"/>
    <w:rsid w:val="00EA0FAC"/>
    <w:rsid w:val="00FA5E5D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spacing w:line="360" w:lineRule="atLeast"/>
      <w:ind w:right="3402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819"/>
        <w:tab w:val="right" w:pos="9071"/>
      </w:tabs>
    </w:pPr>
    <w:rPr>
      <w:rFonts w:ascii="Arial" w:hAnsi="Arial" w:cs="Arial Unicode MS"/>
      <w:color w:val="000000"/>
      <w:sz w:val="26"/>
      <w:szCs w:val="26"/>
      <w:u w:color="000000"/>
    </w:rPr>
  </w:style>
  <w:style w:type="paragraph" w:styleId="Fuzeile">
    <w:name w:val="footer"/>
    <w:pPr>
      <w:tabs>
        <w:tab w:val="center" w:pos="4819"/>
        <w:tab w:val="right" w:pos="9071"/>
      </w:tabs>
    </w:pPr>
    <w:rPr>
      <w:rFonts w:ascii="Arial" w:hAnsi="Arial" w:cs="Arial Unicode MS"/>
      <w:color w:val="000000"/>
      <w:sz w:val="26"/>
      <w:szCs w:val="2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NeueLTPro-Lt" w:eastAsia="HelveticaNeueLTPro-Lt" w:hAnsi="HelveticaNeueLTPro-Lt" w:cs="HelveticaNeueLTPro-Lt"/>
      <w:color w:val="0000FF"/>
      <w:sz w:val="20"/>
      <w:szCs w:val="20"/>
      <w:u w:val="single" w:color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2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2E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2">
    <w:name w:val="heading 2"/>
    <w:next w:val="Standard"/>
    <w:pPr>
      <w:keepNext/>
      <w:spacing w:line="360" w:lineRule="atLeast"/>
      <w:ind w:right="3402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819"/>
        <w:tab w:val="right" w:pos="9071"/>
      </w:tabs>
    </w:pPr>
    <w:rPr>
      <w:rFonts w:ascii="Arial" w:hAnsi="Arial" w:cs="Arial Unicode MS"/>
      <w:color w:val="000000"/>
      <w:sz w:val="26"/>
      <w:szCs w:val="26"/>
      <w:u w:color="000000"/>
    </w:rPr>
  </w:style>
  <w:style w:type="paragraph" w:styleId="Fuzeile">
    <w:name w:val="footer"/>
    <w:pPr>
      <w:tabs>
        <w:tab w:val="center" w:pos="4819"/>
        <w:tab w:val="right" w:pos="9071"/>
      </w:tabs>
    </w:pPr>
    <w:rPr>
      <w:rFonts w:ascii="Arial" w:hAnsi="Arial" w:cs="Arial Unicode MS"/>
      <w:color w:val="000000"/>
      <w:sz w:val="26"/>
      <w:szCs w:val="2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HelveticaNeueLTPro-Lt" w:eastAsia="HelveticaNeueLTPro-Lt" w:hAnsi="HelveticaNeueLTPro-Lt" w:cs="HelveticaNeueLTPro-Lt"/>
      <w:color w:val="0000FF"/>
      <w:sz w:val="20"/>
      <w:szCs w:val="20"/>
      <w:u w:val="single" w:color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2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2E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 Liebing</dc:creator>
  <cp:lastModifiedBy>Domenic Liebing</cp:lastModifiedBy>
  <cp:revision>2</cp:revision>
  <cp:lastPrinted>2017-02-15T10:49:00Z</cp:lastPrinted>
  <dcterms:created xsi:type="dcterms:W3CDTF">2018-05-08T11:09:00Z</dcterms:created>
  <dcterms:modified xsi:type="dcterms:W3CDTF">2018-05-08T11:09:00Z</dcterms:modified>
</cp:coreProperties>
</file>